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DCB" w:rsidRPr="005D6DCB" w:rsidRDefault="005D6DCB" w:rsidP="005D6DCB">
      <w:pPr>
        <w:ind w:left="113"/>
        <w:rPr>
          <w:rFonts w:ascii="Arial" w:hAnsi="Arial" w:cs="Arial"/>
          <w:sz w:val="20"/>
          <w:szCs w:val="20"/>
        </w:rPr>
      </w:pP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1312" behindDoc="0" locked="0" layoutInCell="1" allowOverlap="1" wp14:anchorId="34271FE0" wp14:editId="5BFEAFF0">
            <wp:simplePos x="0" y="0"/>
            <wp:positionH relativeFrom="column">
              <wp:posOffset>2545715</wp:posOffset>
            </wp:positionH>
            <wp:positionV relativeFrom="paragraph">
              <wp:posOffset>-7620</wp:posOffset>
            </wp:positionV>
            <wp:extent cx="895350" cy="895350"/>
            <wp:effectExtent l="0" t="0" r="0" b="0"/>
            <wp:wrapNone/>
            <wp:docPr id="8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2336" behindDoc="0" locked="0" layoutInCell="1" allowOverlap="1" wp14:anchorId="54B062AD" wp14:editId="0DC6748C">
            <wp:simplePos x="0" y="0"/>
            <wp:positionH relativeFrom="column">
              <wp:posOffset>3797935</wp:posOffset>
            </wp:positionH>
            <wp:positionV relativeFrom="paragraph">
              <wp:posOffset>-7620</wp:posOffset>
            </wp:positionV>
            <wp:extent cx="998220" cy="876300"/>
            <wp:effectExtent l="0" t="0" r="0" b="0"/>
            <wp:wrapNone/>
            <wp:docPr id="7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0" locked="0" layoutInCell="1" allowOverlap="1" wp14:anchorId="1171CF57" wp14:editId="562C0416">
            <wp:simplePos x="0" y="0"/>
            <wp:positionH relativeFrom="column">
              <wp:posOffset>110490</wp:posOffset>
            </wp:positionH>
            <wp:positionV relativeFrom="paragraph">
              <wp:posOffset>36830</wp:posOffset>
            </wp:positionV>
            <wp:extent cx="1021080" cy="789305"/>
            <wp:effectExtent l="0" t="0" r="7620" b="0"/>
            <wp:wrapNone/>
            <wp:docPr id="10" name="Immagine 17" descr="http://www.lavoro.gov.it/AreaLavoro/Immigrazione_SpostatoInAreaSociale/PublishingImages/Logo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 descr="http://www.lavoro.gov.it/AreaLavoro/Immigrazione_SpostatoInAreaSociale/PublishingImages/LogoU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0288" behindDoc="0" locked="0" layoutInCell="1" allowOverlap="1" wp14:anchorId="71A5A4C5" wp14:editId="7AAEFF2A">
            <wp:simplePos x="0" y="0"/>
            <wp:positionH relativeFrom="column">
              <wp:posOffset>1445260</wp:posOffset>
            </wp:positionH>
            <wp:positionV relativeFrom="paragraph">
              <wp:posOffset>3175</wp:posOffset>
            </wp:positionV>
            <wp:extent cx="758825" cy="855345"/>
            <wp:effectExtent l="0" t="0" r="3175" b="1905"/>
            <wp:wrapNone/>
            <wp:docPr id="9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 descr="https://upload.wikimedia.org/wikipedia/commons/thumb/0/00/Emblem_of_Italy.svg/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3360" behindDoc="0" locked="0" layoutInCell="1" allowOverlap="1" wp14:anchorId="267FFA27" wp14:editId="16AC6271">
            <wp:simplePos x="0" y="0"/>
            <wp:positionH relativeFrom="column">
              <wp:posOffset>4963160</wp:posOffset>
            </wp:positionH>
            <wp:positionV relativeFrom="paragraph">
              <wp:posOffset>42545</wp:posOffset>
            </wp:positionV>
            <wp:extent cx="1315720" cy="781050"/>
            <wp:effectExtent l="0" t="0" r="0" b="0"/>
            <wp:wrapNone/>
            <wp:docPr id="6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DCB" w:rsidRPr="005D6DCB" w:rsidRDefault="005D6DCB" w:rsidP="005D6DCB">
      <w:pP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spacing w:before="100" w:beforeAutospacing="1" w:after="100" w:afterAutospacing="1" w:line="240" w:lineRule="auto"/>
        <w:jc w:val="right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12</w:t>
      </w:r>
    </w:p>
    <w:p w:rsidR="000D5B25" w:rsidRDefault="000D5B25" w:rsidP="00464BB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:rsidR="00464BB3" w:rsidRPr="005D6DCB" w:rsidRDefault="00464BB3" w:rsidP="00464BB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LEGGE 11 dicembre 2016, n. 232  </w:t>
      </w:r>
    </w:p>
    <w:p w:rsidR="00464BB3" w:rsidRPr="007D0797" w:rsidRDefault="00464BB3" w:rsidP="00464BB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Bilancio di previsione dello Stato per l'anno finanziario 2017 e bilancio pluriennale per il triennio 2017-2019. (16G00242) </w:t>
      </w:r>
      <w:hyperlink r:id="rId10" w:tgtFrame="_blank" w:history="1">
        <w:r w:rsidRPr="007D0797">
          <w:rPr>
            <w:rFonts w:ascii="Arial" w:eastAsia="Times New Roman" w:hAnsi="Arial" w:cs="Arial"/>
            <w:b/>
            <w:bCs/>
            <w:sz w:val="20"/>
            <w:szCs w:val="20"/>
            <w:u w:val="single"/>
            <w:lang w:eastAsia="it-IT"/>
          </w:rPr>
          <w:t>(GU Serie Generale n.297 del 21-12-2016 - Suppl. Ordinario n. 57)</w:t>
        </w:r>
      </w:hyperlink>
      <w:r w:rsidRPr="007D0797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:rsidR="0024290F" w:rsidRDefault="0024290F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:rsidR="00F51F92" w:rsidRDefault="0024290F" w:rsidP="00F51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F51F92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SEZIONE</w:t>
      </w:r>
      <w:r w:rsidR="00464BB3" w:rsidRPr="00F51F92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A</w:t>
      </w:r>
    </w:p>
    <w:p w:rsidR="00F51F92" w:rsidRDefault="00F51F92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:rsidR="00464BB3" w:rsidRDefault="00464BB3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24290F">
        <w:rPr>
          <w:rFonts w:ascii="Arial" w:eastAsia="Times New Roman" w:hAnsi="Arial" w:cs="Arial"/>
          <w:sz w:val="20"/>
          <w:szCs w:val="20"/>
          <w:u w:val="single"/>
          <w:lang w:eastAsia="it-IT"/>
        </w:rPr>
        <w:t>(Articolo 1, comma 9</w:t>
      </w:r>
      <w:r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) </w:t>
      </w:r>
      <w:r w:rsidR="005A2338"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>Allegato così modificato dall’ art. 7-novies, comma 1, lett. b), c) e d), D.L. 29 dicembre 2016, n. 243, convertito, con modificazioni, dalla L. 27 febbraio 2017, n. 18</w:t>
      </w:r>
    </w:p>
    <w:p w:rsidR="0024290F" w:rsidRPr="0024290F" w:rsidRDefault="0024290F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:rsidR="00464BB3" w:rsidRDefault="00464BB3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</w:p>
    <w:p w:rsidR="005A2338" w:rsidRPr="00E07DA9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E07DA9">
        <w:rPr>
          <w:rFonts w:ascii="Arial" w:eastAsia="Times New Roman" w:hAnsi="Arial" w:cs="Arial"/>
          <w:b/>
          <w:sz w:val="20"/>
          <w:szCs w:val="20"/>
          <w:lang w:eastAsia="it-IT"/>
        </w:rPr>
        <w:t>Beni funzionali alla trasformazione tecnologica e digitale delle imprese secondo il modello «Industria 4.0»</w:t>
      </w:r>
    </w:p>
    <w:p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</w:p>
    <w:p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sz w:val="20"/>
          <w:szCs w:val="20"/>
          <w:lang w:eastAsia="it-IT"/>
        </w:rPr>
        <w:t>Beni strumentali il cui funzionamento è controllato da sistemi computerizzati o gestito tramite opportuni sensori e azionamenti:</w:t>
      </w:r>
    </w:p>
    <w:p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asportazione,</w:t>
      </w:r>
    </w:p>
    <w:p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2</w:t>
      </w: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macchine utensili operanti con laser e altri processi a flusso di energia (ad esempio plasma,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waterjet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, fascio di elettroni), elettroerosione, processi elettrochimici,</w:t>
      </w:r>
    </w:p>
    <w:p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A.3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e impianti per la realizzazione di prodotti mediante la trasformazione dei materiali e delle materie prime,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A.4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la deformazione plastica dei metalli e altri materiali,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A.5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l'assemblaggio, la giunzione e la saldatura,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A.6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per il confezionamento e l'imballaggio,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A.7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macchine utensili di de-produzione e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riconfezionamento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per recuperare materiali e funzioni da scarti industriali e prodotti di ritorno a fine vita (ad esempio macchine per il disassemblaggio, la separazione, la frantumazione, il recupero chimico),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A.8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robot, robot collaborativi e sistemi multi-robot,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A.9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e sistemi per il conferimento o la modifica delle caratteristiche superficiali dei prodotti o la funzionalizzazione delle superfici,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A.10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per la manifattura additiva utilizzate in ambito industriale,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A.11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macchine, anche motrici e operatrici, strumenti e dispositivi per il carico e lo scarico, la movimentazione, la pesatura e la cernita automatica dei pezzi, dispositivi di sollevamento e manipolazione automatizzati, AGV e sistemi di convogliamento e movimentazione flessibili, e/o dotati di riconoscimento dei pezzi (ad esempio RFID, visori e sistemi di visione e meccatronici),</w:t>
      </w:r>
    </w:p>
    <w:p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A.12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magazzini automatizzati interconnessi ai sistemi gestionali di fabbrica.</w:t>
      </w:r>
    </w:p>
    <w:p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b/>
          <w:sz w:val="20"/>
          <w:szCs w:val="20"/>
          <w:lang w:eastAsia="it-IT"/>
        </w:rPr>
        <w:t>Tutte le macchine sopra citate devono essere dotate delle seguenti caratteristiche:</w:t>
      </w:r>
    </w:p>
    <w:p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controllo per mezzo di CNC (Computer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Numerical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 Control) e/o PLC (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Programmable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Logic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 Controller),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interconnessione ai sistemi informatici di fabbrica con caricamento da remoto di istruzioni e/o part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program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>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integrazione automatizzata con il sistema logistico della fabbrica o con la rete di fornitura e/o con altre macchine del ciclo produttivo,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interfaccia tra uomo e macchina semplici e intuitive,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lastRenderedPageBreak/>
        <w:t>rispondenza ai più recenti parametri di sicurezza, salute e igiene del lavoro.</w:t>
      </w:r>
    </w:p>
    <w:p w:rsidR="00A20979" w:rsidRDefault="00A20979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:rsidR="005A2338" w:rsidRDefault="005A2338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Inoltre tutte le macchine sopra citate devono essere dotate di almeno due tra le seguenti caratteristiche per renderle assimilabili o integrabili a sistemi </w:t>
      </w:r>
      <w:proofErr w:type="spellStart"/>
      <w:r w:rsidRPr="008B2C3D">
        <w:rPr>
          <w:rFonts w:ascii="Arial" w:eastAsia="Times New Roman" w:hAnsi="Arial" w:cs="Arial"/>
          <w:b/>
          <w:sz w:val="20"/>
          <w:szCs w:val="20"/>
          <w:lang w:eastAsia="it-IT"/>
        </w:rPr>
        <w:t>cyberfisici</w:t>
      </w:r>
      <w:proofErr w:type="spellEnd"/>
      <w:r w:rsidRPr="008B2C3D">
        <w:rPr>
          <w:rFonts w:ascii="Arial" w:eastAsia="Times New Roman" w:hAnsi="Arial" w:cs="Arial"/>
          <w:b/>
          <w:sz w:val="20"/>
          <w:szCs w:val="20"/>
          <w:lang w:eastAsia="it-IT"/>
        </w:rPr>
        <w:t>:</w:t>
      </w:r>
    </w:p>
    <w:p w:rsidR="008B2C3D" w:rsidRPr="008B2C3D" w:rsidRDefault="008B2C3D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sistemi di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telemanutenzione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 e/o telediagnosi e/o controllo in remoto,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monitoraggio continuo delle condizioni di lavoro e dei parametri di processo mediante opportuni set di sensori e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adattività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 alle derive di processo,</w:t>
      </w:r>
    </w:p>
    <w:p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 xml:space="preserve">caratteristiche di integrazione tra macchina fisica e/o impianto con la modellizzazione e/o la simulazione del proprio comportamento nello svolgimento del processo (sistema </w:t>
      </w:r>
      <w:proofErr w:type="spellStart"/>
      <w:r w:rsidRPr="008B2C3D">
        <w:rPr>
          <w:rFonts w:ascii="Arial" w:eastAsia="Times New Roman" w:hAnsi="Arial" w:cs="Arial"/>
          <w:sz w:val="20"/>
          <w:szCs w:val="20"/>
          <w:lang w:eastAsia="it-IT"/>
        </w:rPr>
        <w:t>cyberfisico</w:t>
      </w:r>
      <w:proofErr w:type="spellEnd"/>
      <w:r w:rsidRPr="008B2C3D">
        <w:rPr>
          <w:rFonts w:ascii="Arial" w:eastAsia="Times New Roman" w:hAnsi="Arial" w:cs="Arial"/>
          <w:sz w:val="20"/>
          <w:szCs w:val="20"/>
          <w:lang w:eastAsia="it-IT"/>
        </w:rPr>
        <w:t>),</w:t>
      </w:r>
    </w:p>
    <w:p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Costituiscono inoltre beni funzionali alla trasformazione tecnologica e/o digitale delle imprese </w:t>
      </w: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secondo il modello ‘Industria 4.0’ i seguenti:</w:t>
      </w:r>
    </w:p>
    <w:p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A20979" w:rsidP="00A20979">
      <w:pPr>
        <w:pStyle w:val="Paragrafoelenco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A.13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dispositivi, strumentazione e componentistica intelligente per l'integrazione, la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sensorizzazione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e/o l'interconnessione e il controllo automatico dei processi utilizzati anche nell'ammodernamento o nel revamping dei sistemi di produzione esistenti.</w:t>
      </w:r>
    </w:p>
    <w:p w:rsidR="00B527E8" w:rsidRPr="0010039E" w:rsidRDefault="00B527E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Sistemi per l'assicurazione della qualità e della sostenibilità:</w:t>
      </w:r>
    </w:p>
    <w:p w:rsidR="00B527E8" w:rsidRPr="0010039E" w:rsidRDefault="00B527E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A.14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di misura a coordinate e no (a contatto, non a contatto, multi-sensore o basati su tomografia computerizzata tridimensionale) e relativa strumentazione per la verifica dei requisiti micro e macro geometrici di prodotto per qualunque livello di scala dimensionale (dalla larga scala alla scala micro-metrica o nano-metrica) al fine di assicurare e tracciare la qualità del prodotto e che consentono di qualificare i processi di produzione in maniera documentabile e connessa al sistema informativo di fabbrica,</w:t>
      </w:r>
    </w:p>
    <w:p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A.15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altri sistemi di monitoraggio in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process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per assicurare e tracciare la qualità del prodotto o del processo produttivo e che consentono di qualificare i processi di produzione in maniera documentabile e connessa al sistema informativo di fabbrica,</w:t>
      </w:r>
    </w:p>
    <w:p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A.16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per l'ispezione e la caratterizzazione dei materiali (ad esempio macchine di prova materiali, macchine per il collaudo dei prodotti realizzati, sistemi per prove o collaudi non distruttivi, tomografia) in grado di verificare le caratteristiche dei materiali in ingresso o in uscita al processo e che vanno a costituire il prodotto risultante a livello macro (ad esempio caratteristiche meccaniche) o micro (ad esempio porosità, inclusioni) e di generare opportuni report di collaudo da inserire nel sistema informativo aziendale,</w:t>
      </w:r>
    </w:p>
    <w:p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A.17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dispositivi intelligenti per il test delle polveri metalliche e sistemi di monitoraggio in continuo che consentono di qualificare i processi di produzione mediante tecnologie additive,</w:t>
      </w:r>
    </w:p>
    <w:p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A.18 -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sistemi intelligenti e connessi di marcatura e tracciabilità dei lotti produttivi e/o dei singoli prodotti (ad esempio RFID - Radio Frequency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Identification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),</w:t>
      </w:r>
    </w:p>
    <w:p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A.19 -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di monitoraggio e controllo delle condizioni di lavoro delle macchine (ad esempio forze, coppia e potenza di lavorazione; usura tridimensionale degli utensili a bordo macchina; stato di componenti o sotto-insiemi delle macchine) e dei sistemi di produzione interfacciati con i sistemi informativi di fabbrica e/o con soluzioni cloud,</w:t>
      </w:r>
    </w:p>
    <w:p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A.20 -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strumenti e dispositivi per l'etichettatura, l'identificazione o la marcatura automatica dei prodotti, con collegamento con il codice e la matricola del prodotto stesso in modo da consentire ai manutentori di monitorare la costanza delle prestazioni dei prodotti nel tempo e di agire sul processo di progettazione dei futuri prodotti in maniera sinergica, consentendo il richiamo di prodotti difettosi o dannosi,</w:t>
      </w:r>
    </w:p>
    <w:p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A.21 -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componenti, sistemi e soluzioni intelligenti per la gestione, l'utilizzo efficiente e il monitoraggio dei consumi energetici e idrici e per la riduzione delle emissioni,</w:t>
      </w:r>
    </w:p>
    <w:p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A.22 -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filtri e sistemi di trattamento e recupero di acqua, aria, olio, sostanze chimiche, polveri con sistemi di segnalazione dell'efficienza filtrante e della presenza di anomalie o sostanze aliene al processo o pericolose, integrate con il sistema di fabbrica e in grado di avvisare gli operatori e/o di fermare le attività di macchine e impianti.</w:t>
      </w:r>
    </w:p>
    <w:p w:rsidR="0096690C" w:rsidRPr="0010039E" w:rsidRDefault="0096690C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Dispositivi per l'interazione uomo macchina e per il miglioramento dell'ergonomia e della sicurezza del posto di lavoro in logica «4.0»:</w:t>
      </w:r>
    </w:p>
    <w:p w:rsidR="0096690C" w:rsidRPr="0010039E" w:rsidRDefault="0096690C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A.23 -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banchi e postazioni di lavoro dotati di soluzioni ergonomiche in grado di adattarli in maniera automatizzata alle caratteristiche fisiche degli operatori (ad esempio caratteristiche biometriche, età, presenza di disabilità),</w:t>
      </w:r>
    </w:p>
    <w:p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 xml:space="preserve">A.24 -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per il sollevamento/traslazione di parti pesanti o oggetti esposti ad alte temperature in grado di agevolare in maniera intelligente/robotizzata/interattiva il compito dell'operatore,</w:t>
      </w:r>
    </w:p>
    <w:p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A.25 -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dispositivi wearable, apparecchiature di comunicazione tra operatore/operatori e sistema produttivo, dispositivi di realtà aumentata e </w:t>
      </w:r>
      <w:proofErr w:type="spellStart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virtual</w:t>
      </w:r>
      <w:proofErr w:type="spellEnd"/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reality,</w:t>
      </w:r>
    </w:p>
    <w:p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A.26 -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interfacce uomo-macchina (HMI) intelligenti che coadiuvano l'operatore a fini di sicurezza ed efficienza delle operazioni di lavorazione, manutenzione, logistica.</w:t>
      </w: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A20979" w:rsidRPr="00A20979" w:rsidRDefault="00BE2CCE" w:rsidP="00A2097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</w:pPr>
      <w:r w:rsidRPr="00A20979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(SEZIONE </w:t>
      </w:r>
      <w:proofErr w:type="gramStart"/>
      <w:r w:rsidRPr="00A20979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B )</w:t>
      </w:r>
      <w:proofErr w:type="gramEnd"/>
    </w:p>
    <w:p w:rsidR="00A20979" w:rsidRDefault="00A20979" w:rsidP="00BE2CC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:rsidR="00BE2CCE" w:rsidRDefault="00BE2CCE" w:rsidP="000000B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>(Articolo 1, comma 10) Allegato così modificato dall’ art. 1, comma 32, L. 27 dicembre 2017, n. 205, a decorrere dal 1° gennaio 2018.</w:t>
      </w:r>
    </w:p>
    <w:p w:rsidR="00BE2CCE" w:rsidRPr="0024290F" w:rsidRDefault="00BE2CCE" w:rsidP="00BE2CC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:rsidR="00BE2CCE" w:rsidRPr="00EE205C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EE205C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 </w:t>
      </w:r>
    </w:p>
    <w:p w:rsidR="00BE2CCE" w:rsidRPr="00BE2CCE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BE2CCE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Beni immateriali (software, sistemi e system </w:t>
      </w:r>
      <w:proofErr w:type="spellStart"/>
      <w:r w:rsidRPr="00BE2CCE">
        <w:rPr>
          <w:rFonts w:ascii="Arial" w:eastAsia="Times New Roman" w:hAnsi="Arial" w:cs="Arial"/>
          <w:b/>
          <w:sz w:val="20"/>
          <w:szCs w:val="20"/>
          <w:lang w:eastAsia="it-IT"/>
        </w:rPr>
        <w:t>integration</w:t>
      </w:r>
      <w:proofErr w:type="spellEnd"/>
      <w:r w:rsidRPr="00BE2CCE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, piattaforme e applicazioni) connessi a investimenti in beni materiali «Industria 4.0» </w:t>
      </w:r>
    </w:p>
    <w:p w:rsidR="00BE2CCE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progettazione, definizione/qualificazione delle prestazioni e produzione di manufatti in materiali non convenzionali o ad alte prestazioni, in grado di permettere la progettazione, la modellazione 3D, la simulazione, la sperimentazione, la prototipazione e la verifica simultanea del processo produttivo, del prodotto e delle sue caratteristiche (funzionali e di impatto ambientale) e/o l'archiviazione digitale e integrata nel sistema informativo aziendale delle informazioni relative al ciclo di vita del prodotto (sistemi EDM, PDM, PLM, Big Data Analytics),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per la progettazione e la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ri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-progettazione dei sistemi produttivi che tengano conto dei flussi dei materiali e delle informazioni,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supporto alle decisioni in grado di interpretare dati analizzati dal campo e visualizzare agli operatori in linea specifiche azioni per migliorare la qualità del prodotto e l'efficienza del sistema di produzione,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B.4 -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per la gestione e il coordinamento della produzione con elevate caratteristiche di integrazione delle attività di servizio, come la logistica di fabbrica e la manutenzione (quali ad esempio sistemi di comunicazione intra-fabbrica, bus di campo/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fieldbus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, sistemi SCADA, sistemi MES, sistemi CMMS, soluzioni innovative con caratteristiche riconducibili ai paradigmi dell'IoT e/o del cloud computing),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B.5 -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il monitoraggio e controllo delle condizioni di lavoro delle macchine e dei sistemi di produzione interfacciati con i sistemi informativi di fabbrica e/o con soluzioni cloud,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B.6 -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realtà virtuale per lo studio realistico di componenti e operazioni (ad esempio di assemblaggio), sia in contesti immersivi o solo visuali,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B.7 -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di reverse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modeling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and engineering per la ricostruzione virtuale di contesti reali,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B.8 -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in grado di comunicare e condividere dati e informazioni sia tra loro che con l'ambiente e gli attori circostanti (Industrial Internet of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Things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) grazie ad una rete di sensori intelligenti interconnessi,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B.9 -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per il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dispatching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delle attività e l'instradamento dei prodotti nei sistemi produttivi,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B.10 -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gestione della qualità a livello di sistema produttivo e dei relativi processi,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l'accesso a un insieme virtualizzato, condiviso e configurabile di risorse a supporto di processi produttivi e di gestione della produzione e/o della supply chain (cloud computing),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per industrial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analytics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dedicati al trattamento ed all'elaborazione dei big data provenienti dalla sensoristica IoT applicata in ambito industriale (Data Analytics &amp;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Visualization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Simulation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e Forecasting),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di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artificial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intelligence &amp; machine learning che consentono alle macchine di mostrare un'abilità e/o attività intelligente in campi specifici a garanzia della qualità del processo produttivo e del funzionamento affidabile del macchinario e/o dell'impianto,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B.14 -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per la produzione automatizzata e intelligente, caratterizzata da elevata capacità cognitiva, interazione e adattamento al contesto, autoapprendimento e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riconfigurabilità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cybersystem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B.15 -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l'utilizzo lungo le linee produttive di robot, robot collaborativi e macchine intelligenti per la sicurezza e la salute dei lavoratori, la qualità dei prodotti finali e la manutenzione predittiva,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B.16 -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gestione della realtà aumentata tramite wearable device,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B.17 -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dispositivi e nuove interfacce tra uomo e macchina che consentano l'acquisizione, la veicolazione e l'elaborazione di informazioni in formato vocale, visuale e tattile,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 xml:space="preserve">B.18 -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l'intelligenza degli impianti che garantiscano meccanismi di efficienza energetica e di decentralizzazione in cui la produzione e/o lo stoccaggio di energia possono essere anche demandate (almeno parzialmente) alla fabbrica,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B.19 -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protezione di reti, dati, programmi, macchine e impianti da attacchi, danni e accessi non autorizzati (cybersecurity),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B.20 -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software, sistemi, piattaforme e applicazioni di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virtual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industrialization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che, simulando virtualmente il nuovo ambiente e caricando le informazioni sui sistemi </w:t>
      </w:r>
      <w:proofErr w:type="spellStart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cyberfisici</w:t>
      </w:r>
      <w:proofErr w:type="spellEnd"/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al termine di tutte le verifiche, consentono di evitare ore di test e di fermi macchina lungo le linee produttive reali,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sistemi di gestione della supply chain finalizzata al drop shipping nell’e-commerce,</w:t>
      </w:r>
    </w:p>
    <w:p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 e servizi digitali per la fruizione immersiva, interattiva e partecipativa, ricostruzioni 3D, realtà aumentata,</w:t>
      </w:r>
    </w:p>
    <w:p w:rsidR="00BE2CCE" w:rsidRPr="0010039E" w:rsidRDefault="000000B5" w:rsidP="0091519C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piattaforme e applicazioni per la gestione e il coordinamento della logistica con elevate caratteristiche di integrazione delle attività di servizio (comunicazione intra-fabbrica, fabbrica-campo con integrazione telematica dei dispositivi on-field e dei dispositivi mobili, rilevazione telematica di prestazioni e guasti dei dispositivi on-field).</w:t>
      </w: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bookmarkStart w:id="0" w:name="_GoBack"/>
      <w:bookmarkEnd w:id="0"/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sectPr w:rsidR="005A23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43F7D"/>
    <w:multiLevelType w:val="hybridMultilevel"/>
    <w:tmpl w:val="B5480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C399E"/>
    <w:multiLevelType w:val="hybridMultilevel"/>
    <w:tmpl w:val="545A96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46779"/>
    <w:multiLevelType w:val="hybridMultilevel"/>
    <w:tmpl w:val="97A4D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F1FC7"/>
    <w:multiLevelType w:val="hybridMultilevel"/>
    <w:tmpl w:val="1FA665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83B"/>
    <w:multiLevelType w:val="hybridMultilevel"/>
    <w:tmpl w:val="34261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05DCA"/>
    <w:multiLevelType w:val="hybridMultilevel"/>
    <w:tmpl w:val="D7A0C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69B"/>
    <w:multiLevelType w:val="hybridMultilevel"/>
    <w:tmpl w:val="DB9C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F7BB9"/>
    <w:multiLevelType w:val="hybridMultilevel"/>
    <w:tmpl w:val="798A2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440DC"/>
    <w:multiLevelType w:val="hybridMultilevel"/>
    <w:tmpl w:val="D36A0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12C74"/>
    <w:multiLevelType w:val="hybridMultilevel"/>
    <w:tmpl w:val="317819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808E3"/>
    <w:multiLevelType w:val="hybridMultilevel"/>
    <w:tmpl w:val="319EB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40C6B"/>
    <w:multiLevelType w:val="hybridMultilevel"/>
    <w:tmpl w:val="0EDA03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10"/>
  </w:num>
  <w:num w:numId="6">
    <w:abstractNumId w:val="11"/>
  </w:num>
  <w:num w:numId="7">
    <w:abstractNumId w:val="1"/>
  </w:num>
  <w:num w:numId="8">
    <w:abstractNumId w:val="9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B3"/>
    <w:rsid w:val="000000B5"/>
    <w:rsid w:val="00011817"/>
    <w:rsid w:val="000D5B25"/>
    <w:rsid w:val="0010039E"/>
    <w:rsid w:val="0024290F"/>
    <w:rsid w:val="003224E2"/>
    <w:rsid w:val="0032549C"/>
    <w:rsid w:val="00346743"/>
    <w:rsid w:val="003B3E95"/>
    <w:rsid w:val="00464BB3"/>
    <w:rsid w:val="004F5CAB"/>
    <w:rsid w:val="005514EB"/>
    <w:rsid w:val="005824A7"/>
    <w:rsid w:val="005A2338"/>
    <w:rsid w:val="005B135F"/>
    <w:rsid w:val="005D6DCB"/>
    <w:rsid w:val="0071064D"/>
    <w:rsid w:val="007D0797"/>
    <w:rsid w:val="007E0DEB"/>
    <w:rsid w:val="008B2C3D"/>
    <w:rsid w:val="009129CD"/>
    <w:rsid w:val="0096690C"/>
    <w:rsid w:val="009C3964"/>
    <w:rsid w:val="00A20979"/>
    <w:rsid w:val="00A75F6D"/>
    <w:rsid w:val="00B527E8"/>
    <w:rsid w:val="00BC600C"/>
    <w:rsid w:val="00BE2CCE"/>
    <w:rsid w:val="00BE37C2"/>
    <w:rsid w:val="00C1785F"/>
    <w:rsid w:val="00C476EF"/>
    <w:rsid w:val="00C577B8"/>
    <w:rsid w:val="00CF7AEA"/>
    <w:rsid w:val="00D139DA"/>
    <w:rsid w:val="00D34283"/>
    <w:rsid w:val="00D75C58"/>
    <w:rsid w:val="00E07DA9"/>
    <w:rsid w:val="00E477A2"/>
    <w:rsid w:val="00EE205C"/>
    <w:rsid w:val="00F51F92"/>
    <w:rsid w:val="00F5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F871D-9AD8-418D-A8CB-96C76346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0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064D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0D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gazzettaufficiale.it/eli/gu/2016/12/21/297/so/57/sg/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Meniconi</dc:creator>
  <cp:keywords/>
  <dc:description/>
  <cp:lastModifiedBy>Simone Peruzzi</cp:lastModifiedBy>
  <cp:revision>9</cp:revision>
  <cp:lastPrinted>2018-02-20T11:20:00Z</cp:lastPrinted>
  <dcterms:created xsi:type="dcterms:W3CDTF">2019-07-23T13:12:00Z</dcterms:created>
  <dcterms:modified xsi:type="dcterms:W3CDTF">2019-08-04T16:14:00Z</dcterms:modified>
</cp:coreProperties>
</file>